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1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jc w:val="center"/>
      </w:pPr>
      <w:r>
        <w:rPr>
          <w:b w:val="on"/>
          <w:sz w:val="40"/>
        </w:rPr>
        <w:t>KCS 31 80 75  분말 소화설비공사</w:t>
      </w:r>
    </w:p>
    <w:p>
      <w:pPr>
        <w:jc w:val="center"/>
      </w:pPr>
      <w:r>
        <w:t>2026년 판 · 2026-02-24 개정 · 국토교통부 고시 · 국가건설기준센터 공개 원문</w:t>
      </w:r>
    </w:p>
    <w:p>
      <w:pPr>
        <w:pStyle w:val="Heading1"/>
      </w:pPr>
      <w:r>
        <w:t>1. 일반사항</w:t>
      </w:r>
    </w:p>
    <w:p>
      <w:pPr>
        <w:pStyle w:val="Heading2"/>
      </w:pPr>
      <w:r>
        <w:t>1.1 적용범위</w:t>
      </w:r>
    </w:p>
    <w:p>
      <w:r>
        <w:t>이 기준은 분말 소화설비공사에 적용한다.</w:t>
      </w:r>
    </w:p>
    <w:p>
      <w:pPr>
        <w:pStyle w:val="Heading2"/>
      </w:pPr>
      <w:r>
        <w:t>1.2 참고기준</w:t>
      </w:r>
    </w:p>
    <w:p>
      <w:r>
        <w:t>KCS 31 80 05(1.2)에 따른다.</w:t>
      </w:r>
    </w:p>
    <w:p>
      <w:pPr>
        <w:pStyle w:val="Heading2"/>
      </w:pPr>
      <w:r>
        <w:t>1.3 용어의 정의</w:t>
      </w:r>
    </w:p>
    <w:p>
      <w:r>
        <w:t>기준의 용어 정의는 KCS 31 10 10(1.3)을 참조한다.</w:t>
      </w:r>
    </w:p>
    <w:p>
      <w:pPr>
        <w:pStyle w:val="Heading1"/>
      </w:pPr>
      <w:r>
        <w:t>2. 자재</w:t>
      </w:r>
    </w:p>
    <w:p>
      <w:pPr>
        <w:pStyle w:val="Heading2"/>
      </w:pPr>
      <w:r>
        <w:t>2.1 저장용기</w:t>
      </w:r>
    </w:p>
    <w:p>
      <w:r>
        <w:t>저장용기의 내용적은 다음 표 2.1-1와 같다.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t>소화약제의 종별</w:t>
            </w:r>
          </w:p>
        </w:tc>
        <w:tc>
          <w:p>
            <w:r>
              <w:t>소화약제 저장용기의 내용적 (ℓ/kg)</w:t>
            </w:r>
          </w:p>
        </w:tc>
      </w:tr>
      <w:tr>
        <w:tc>
          <w:p>
            <w:r>
              <w:t>탄산수소나트륨을 주성분으로 한 분말(제1종분말)</w:t>
            </w:r>
          </w:p>
        </w:tc>
        <w:tc>
          <w:p>
            <w:r>
              <w:t>0.80</w:t>
            </w:r>
          </w:p>
        </w:tc>
      </w:tr>
      <w:tr>
        <w:tc>
          <w:p>
            <w:r>
              <w:t>탄산수소칼륨을 주성분으로 한 분말(제2종분말)</w:t>
            </w:r>
          </w:p>
        </w:tc>
        <w:tc>
          <w:p>
            <w:r>
              <w:t>1.00</w:t>
            </w:r>
          </w:p>
        </w:tc>
      </w:tr>
      <w:tr>
        <w:tc>
          <w:p>
            <w:r>
              <w:t>인산염을 주성분으로 한 분말(제3종 분말)</w:t>
            </w:r>
          </w:p>
        </w:tc>
        <w:tc>
          <w:p>
            <w:r>
              <w:t>1.00</w:t>
            </w:r>
          </w:p>
        </w:tc>
      </w:tr>
      <w:tr>
        <w:tc>
          <w:p>
            <w:r>
              <w:t>탄산수소칼륨과 요소가 화합된 분말(제4종 분말)</w:t>
            </w:r>
          </w:p>
        </w:tc>
        <w:tc>
          <w:p>
            <w:r>
              <w:t>1.25</w:t>
            </w:r>
          </w:p>
        </w:tc>
      </w:tr>
    </w:tbl>
    <w:p>
      <w:pPr>
        <w:pStyle w:val="Heading2"/>
      </w:pPr>
      <w:r>
        <w:t>2.2 분말소화약제</w:t>
      </w:r>
    </w:p>
    <w:p>
      <w:r>
        <w:t>제1종분말, 제2종분말, 제3종분말, 제4종분말로 한다. 단, 차고 또는 주차장에 설치하는 분말소화설비의 소화약제는 제3종분말로 한다.</w:t>
      </w:r>
    </w:p>
    <w:p>
      <w:pPr>
        <w:pStyle w:val="Heading2"/>
      </w:pPr>
      <w:r>
        <w:t>2.3 가압용 가스용기</w:t>
      </w:r>
    </w:p>
    <w:p>
      <w:r>
        <w:t>(1) 가압용 가스용기는 분말소화약제의 저장용기에 접속하여 설치한다.</w:t>
      </w:r>
    </w:p>
    <w:p>
      <w:r>
        <w:t>(2) 가압용 가스용기를 3병 이상 설치한 경우에는 2개 이상의 용기에 전자개방밸브를 부착한다.</w:t>
      </w:r>
    </w:p>
    <w:p>
      <w:r>
        <w:t>(3) 2.5 MPa 이하의 압력에서 조정이 가능한 압력조정기를 설치한다.</w:t>
      </w:r>
    </w:p>
    <w:p>
      <w:pPr>
        <w:pStyle w:val="Heading2"/>
      </w:pPr>
      <w:r>
        <w:t>2.4 배관</w:t>
      </w:r>
    </w:p>
    <w:p>
      <w:pPr>
        <w:pStyle w:val="Heading3"/>
      </w:pPr>
      <w:r>
        <w:t>2.4.1 강관을 사용하는 경우</w:t>
      </w:r>
    </w:p>
    <w:p>
      <w:r>
        <w:t>강관을 사용하는 경우의 배관은 아연도금에 따른 KS D 3507이나 이와 동등 이상의 강도와 내식성 및 내열성을 가진 것으로 한다. 다만, 축압식 분말소화설비에 사용하는 경우, 20℃에서 압력이 2.5MPa 이상 4.2MPa 이하인 경우에는 KS D 3562 중 이음이 없는 스케줄 40 이상 파이프 또는 이와 동등 이상의 강도를 가진 것으로서 아연도금 방식처리된 것을 사용한다.</w:t>
      </w:r>
    </w:p>
    <w:p>
      <w:pPr>
        <w:pStyle w:val="Heading3"/>
      </w:pPr>
      <w:r>
        <w:t>2.4.2 동관을 사용하는 경우</w:t>
      </w:r>
    </w:p>
    <w:p>
      <w:r>
        <w:t>고정압력 또는 최고사용압력의 1.5배 이상의 압력에 견딜 수 있는 것을 사용한다.</w:t>
      </w:r>
    </w:p>
    <w:p>
      <w:pPr>
        <w:pStyle w:val="Heading1"/>
      </w:pPr>
      <w:r>
        <w:t>3. 시공</w:t>
      </w:r>
    </w:p>
    <w:p>
      <w:pPr>
        <w:pStyle w:val="Heading2"/>
      </w:pPr>
      <w:r>
        <w:t>3.1 저장용기</w:t>
      </w:r>
    </w:p>
    <w:p>
      <w:r>
        <w:t>KCS 31 80 55(3.1)에 따른다.</w:t>
      </w:r>
    </w:p>
    <w:p>
      <w:pPr>
        <w:pStyle w:val="Heading2"/>
      </w:pPr>
      <w:r>
        <w:t>3.2 기동장치</w:t>
      </w:r>
    </w:p>
    <w:p>
      <w:pPr>
        <w:pStyle w:val="Heading3"/>
      </w:pPr>
      <w:r>
        <w:t>3.2.1 수동식 기동장치</w:t>
      </w:r>
    </w:p>
    <w:p>
      <w:r>
        <w:t>KCS 31 80 55(3.2.1)에 따른다.</w:t>
      </w:r>
    </w:p>
    <w:p>
      <w:pPr>
        <w:pStyle w:val="Heading3"/>
      </w:pPr>
      <w:r>
        <w:t>3.2.2 자동식 기동장치</w:t>
      </w:r>
    </w:p>
    <w:p>
      <w:r>
        <w:t>KCS 31 80 55(3.2.2)에 따른다.</w:t>
      </w:r>
    </w:p>
    <w:p>
      <w:pPr>
        <w:pStyle w:val="Heading3"/>
      </w:pPr>
      <w:r>
        <w:t>3.2.3 표시등</w:t>
      </w:r>
    </w:p>
    <w:p>
      <w:r>
        <w:t>분말소화설비가 설치된 구역의 출입구에는 소화약제의 방출 여부를 나타내는 표시등을 설치한다.</w:t>
      </w:r>
    </w:p>
    <w:p>
      <w:pPr>
        <w:pStyle w:val="Heading2"/>
      </w:pPr>
      <w:r>
        <w:t>3.3 배관</w:t>
      </w:r>
    </w:p>
    <w:p>
      <w:r>
        <w:t>(1) 전용 배관을 사용하여야 하며 밸브 류는 개폐위치 또는 개폐방향을 표시한다.</w:t>
      </w:r>
    </w:p>
    <w:p>
      <w:r>
        <w:t>(2) 배관의 구경은 기준저장량의 소화약제가 30초 이내에 방사될 수 있는 것으로 한다.</w:t>
      </w:r>
    </w:p>
    <w:p>
      <w:pPr>
        <w:pStyle w:val="Heading2"/>
      </w:pPr>
      <w:r>
        <w:t>3.4 선택밸브</w:t>
      </w:r>
    </w:p>
    <w:p>
      <w:r>
        <w:t>KCS 31 80 55(3.4)에 따른다.</w:t>
      </w:r>
    </w:p>
    <w:p>
      <w:pPr>
        <w:pStyle w:val="Heading2"/>
      </w:pPr>
      <w:r>
        <w:t>3.5 분사헤드</w:t>
      </w:r>
    </w:p>
    <w:p>
      <w:r>
        <w:t>기준저장량의 소화약제를 30초 이내에 방사할 수 있는 것으로 한다.</w:t>
      </w:r>
    </w:p>
    <w:p>
      <w:pPr>
        <w:pStyle w:val="Heading2"/>
      </w:pPr>
      <w:r>
        <w:t>3.6 시험 및 검사</w:t>
      </w:r>
    </w:p>
    <w:p>
      <w:r>
        <w:t>(1) 기압(기밀) 시험
 KCS 31 80 05(3.6.2(2)②)에 따른다.</w:t>
      </w:r>
    </w:p>
    <w:p>
      <w:r>
        <w:t>(2) 기동장치 시험
 KCS 31 80 05(3.6.2(2)③)에 따른다.</w:t>
      </w:r>
    </w:p>
    <w:p>
      <w:r>
        <w:t>(3) 방출시험
 KCS 31 80 05(3.6.2(2)④)에 따른다.</w:t>
      </w:r>
    </w:p>
    <w:sectPr>
      <w:footerReference w:type="default" r:id="rId3"/>
    </w:sectPr>
  </w:body>
</w:document>
</file>

<file path=word/footer1.xml><?xml version="1.0" encoding="utf-8"?>
<w:ftr xmlns:w="http://schemas.openxmlformats.org/wordprocessingml/2006/main">
  <w:p>
    <w:pPr>
      <w:jc w:val="center"/>
    </w:pPr>
    <w:r>
      <w:rPr>
        <w:sz w:val="16"/>
      </w:rPr>
      <w:t>출처: 국토교통부 고시 「건설기준 코드」 KCS 31 80 75 : 2026 · 비교담 자료마당(bigyodam.com)에서 내려받음</w:t>
    </w:r>
  </w:p>
</w:ftr>
</file>

<file path=word/settings.xml><?xml version="1.0" encoding="utf-8"?>
<w:settings xmlns:w="http://schemas.openxmlformats.org/wordprocessingml/2006/main"/>
</file>

<file path=word/styles.xml><?xml version="1.0" encoding="utf-8"?>
<w:styles xmlns:w="http://schemas.openxmlformats.org/wordprocessingml/2006/main">
  <w:style w:styleId="Heading1" w:type="paragraph">
    <w:name w:val="heading 1"/>
    <w:pPr>
      <w:outlineLvl w:val="0"/>
    </w:pPr>
    <w:rPr>
      <w:b/>
      <w:sz w:val="32"/>
    </w:rPr>
  </w:style>
  <w:style w:styleId="Heading2" w:type="paragraph">
    <w:name w:val="heading 2"/>
    <w:pPr>
      <w:outlineLvl w:val="1"/>
    </w:pPr>
    <w:rPr>
      <w:b/>
      <w:sz w:val="28"/>
    </w:rPr>
  </w:style>
  <w:style w:styleId="Heading3" w:type="paragraph">
    <w:name w:val="heading 3"/>
    <w:pPr>
      <w:outlineLvl w:val="2"/>
    </w:pPr>
    <w:rPr>
      <w:b/>
      <w:sz w:val="24"/>
    </w:rPr>
  </w:style>
</w:styles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2" Target="styles.xml" Type="http://schemas.openxmlformats.org/officeDocument/2006/relationships/styles"/><Relationship Id="rId3" Target="footer1.xml" Type="http://schemas.openxmlformats.org/officeDocument/2006/relationships/footer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2026-09-14T08:49:32Z</dcterms:created>
  <dc:creator>Apache POI</dc:creator>
</cp:coreProperties>
</file>