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1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app.xml" Type="http://schemas.openxmlformats.org/officeDocument/2006/relationships/extended-properties"/><Relationship Id="rId3" Target="docProps/core.xml" Type="http://schemas.openxmlformats.org/package/2006/relationships/metadata/core-properties"/></Relationships>
</file>

<file path=word/document.xml><?xml version="1.0" encoding="utf-8"?>
<w:document xmlns:w="http://schemas.openxmlformats.org/wordprocessingml/2006/main" xmlns:r="http://schemas.openxmlformats.org/officeDocument/2006/relationships">
  <w:body>
    <w:p>
      <w:pPr>
        <w:jc w:val="center"/>
      </w:pPr>
      <w:r>
        <w:rPr>
          <w:b w:val="on"/>
          <w:sz w:val="40"/>
        </w:rPr>
        <w:t>KCS 31 80 05  소방기계설비 공통공사</w:t>
      </w:r>
    </w:p>
    <w:p>
      <w:pPr>
        <w:jc w:val="center"/>
      </w:pPr>
      <w:r>
        <w:t>2026년 판 · 2026-02-24 개정 · 국토교통부 고시 · 국가건설기준센터 공개 원문</w:t>
      </w:r>
    </w:p>
    <w:p>
      <w:pPr>
        <w:pStyle w:val="Heading1"/>
      </w:pPr>
      <w:r>
        <w:t>1. 일반사항</w:t>
      </w:r>
    </w:p>
    <w:p>
      <w:pPr>
        <w:pStyle w:val="Heading2"/>
      </w:pPr>
      <w:r>
        <w:t>1.1 적용범위</w:t>
      </w:r>
    </w:p>
    <w:p>
      <w:r>
        <w:t>(1) 소화설비공사는 소방기본법(법, 시행령, 시행규칙), 소방시설공사업법(법, 시행령, 시행규칙), 화재예방, 소방시설 설치 및 관리에 관한 법률(법률, 시행령, 시행규칙), 화재의 예방 및 안전관리에 관한 법률(법률, 시행령, 시행규칙), 위험물안전관리법(법, 시행령, 시행규칙), 공공기관의 소방안전관리에 관한 규정, 국가화재안전성능기준, 국가화재기술기준, 소방용품의 품질관리 등에 관한 규칙, 건축법(법, 시행령, 시행규칙)을 준수하여 시행하여야 하며, 본 장에 기술되어 있는 내용보다 우선하여 적용한다.</w:t>
      </w:r>
    </w:p>
    <w:p>
      <w:r>
        <w:t>(2) 사용하는 기기 및 재료는 소화설비 기능에 나쁜 영향을 주지 않는 구조 또는 재질로 한다.</w:t>
      </w:r>
    </w:p>
    <w:p>
      <w:r>
        <w:t>(3) 사용하는 기기 및 재료 중에서 관공서의 규정에 적용을 받는 경우에는 관공서의 규정에 적합하거나 사용 승인을 받은 것으로 한다.</w:t>
      </w:r>
    </w:p>
    <w:p>
      <w:r>
        <w:t>(4) 다른 공사와 관련이 있는 사항에 대하여는 해당공사 표준시방서의 해당사항을 적용하도록 한다.</w:t>
      </w:r>
    </w:p>
    <w:p>
      <w:pPr>
        <w:pStyle w:val="Heading2"/>
      </w:pPr>
      <w:r>
        <w:t>1.2 참고기준</w:t>
      </w:r>
    </w:p>
    <w:p>
      <w:pPr>
        <w:pStyle w:val="Heading3"/>
      </w:pPr>
      <w:r>
        <w:t>1.2.1 관련법규</w:t>
      </w:r>
    </w:p>
    <w:p>
      <w:r>
        <w:t>(1) 소방기본법(법, 시행령, 시행규칙)</w:t>
      </w:r>
    </w:p>
    <w:p>
      <w:r>
        <w:t>(2) 소방시설공사업법(법, 시행령, 시행규칙)</w:t>
      </w:r>
    </w:p>
    <w:p>
      <w:r>
        <w:t>(3) 소방시설 설치 및 관리에 관한 법률(법률, 시행령, 시행규칙), 화재의 예방 및 안전관리에 관한 법률(법률, 시행령, 시행규칙)</w:t>
      </w:r>
    </w:p>
    <w:p>
      <w:r>
        <w:t>(4) 위험물안전관리법(법, 시행령, 시행규칙)</w:t>
      </w:r>
    </w:p>
    <w:p>
      <w:r>
        <w:t>(5) 다중이용업소의 안전관리에 관한 특별법(법, 시행령, 시행규칙)</w:t>
      </w:r>
    </w:p>
    <w:p>
      <w:r>
        <w:t>(6) 공공기관의 소방안전관리에 관한 규정</w:t>
      </w:r>
    </w:p>
    <w:p>
      <w:r>
        <w:t>(7) 국가화재안전성능기준, 국가화재안전기술기준</w:t>
      </w:r>
    </w:p>
    <w:p>
      <w:r>
        <w:t>(8) 소방용품의 품질관리 등에 관한 규칙</w:t>
      </w:r>
    </w:p>
    <w:p>
      <w:r>
        <w:t>(9) 건축법(법, 시행령, 시행규칙)</w:t>
      </w:r>
    </w:p>
    <w:p>
      <w:pPr>
        <w:pStyle w:val="Heading3"/>
      </w:pPr>
      <w:r>
        <w:t>1.2.2 공사범위</w:t>
      </w:r>
    </w:p>
    <w:p>
      <w:r>
        <w:t>(1) 옥내소화전설비공사</w:t>
      </w:r>
    </w:p>
    <w:p>
      <w:r>
        <w:t>(2) 옥외소화전설비공사</w:t>
      </w:r>
    </w:p>
    <w:p>
      <w:r>
        <w:t>(3) 스프링클러설비공사</w:t>
      </w:r>
    </w:p>
    <w:p>
      <w:r>
        <w:t>(4) 간이스프링클러설비공사</w:t>
      </w:r>
    </w:p>
    <w:p>
      <w:r>
        <w:t>(5) 물분무소화설비공사</w:t>
      </w:r>
    </w:p>
    <w:p>
      <w:r>
        <w:t>(6) 포소화설비공사</w:t>
      </w:r>
    </w:p>
    <w:p>
      <w:r>
        <w:t>(7) 연결송수관설비공사</w:t>
      </w:r>
    </w:p>
    <w:p>
      <w:r>
        <w:t>(8) 연결살수설비공사</w:t>
      </w:r>
    </w:p>
    <w:p>
      <w:r>
        <w:t>(9) 연소방지설비공사</w:t>
      </w:r>
    </w:p>
    <w:p>
      <w:r>
        <w:t>(10) 이산화탄소 소화설비공사</w:t>
      </w:r>
    </w:p>
    <w:p>
      <w:r>
        <w:t>(11) 할로겐화합물소화설비공사</w:t>
      </w:r>
    </w:p>
    <w:p>
      <w:r>
        <w:t>(12) 할로겐화합물 및 불활성기체 청정소화약제 소화설비공사</w:t>
      </w:r>
    </w:p>
    <w:p>
      <w:r>
        <w:t>(13) 소화기구 설치공사</w:t>
      </w:r>
    </w:p>
    <w:p>
      <w:r>
        <w:t>(14) 분말소화설비공사</w:t>
      </w:r>
    </w:p>
    <w:p>
      <w:r>
        <w:t>(15) 제연설비공사</w:t>
      </w:r>
    </w:p>
    <w:p>
      <w:r>
        <w:t>(16) 특별피난계단의 계단실 및 부속실 제연설비공사</w:t>
      </w:r>
    </w:p>
    <w:p>
      <w:r>
        <w:t>(17) 피난기구설치공사</w:t>
      </w:r>
    </w:p>
    <w:p>
      <w:r>
        <w:t>(18) 인명구조기구설치공사</w:t>
      </w:r>
    </w:p>
    <w:p>
      <w:r>
        <w:t>(19) 위험물 탱크저장소 설비공사</w:t>
      </w:r>
    </w:p>
    <w:p>
      <w:pPr>
        <w:pStyle w:val="Heading3"/>
      </w:pPr>
      <w:r>
        <w:t>1.2.3 관련 기준</w:t>
      </w:r>
    </w:p>
    <w:p>
      <w:r>
        <w:t>다음 표준은 이 기준에 명시되어 있는 범위 내에서 이 기준의 일부를 구성하고 있는 것으로 본다.</w:t>
      </w:r>
    </w:p>
    <w:p>
      <w:r>
        <w:t>(1) 한국산업표준</w:t>
      </w:r>
    </w:p>
    <w:p>
      <w:r>
        <w:t>● KS B 7501  소형 벌루트 펌프</w:t>
      </w:r>
    </w:p>
    <w:p>
      <w:r>
        <w:t>● KS B 6318  양쪽 흡입 벌루트 펌프</w:t>
      </w:r>
    </w:p>
    <w:p>
      <w:r>
        <w:t>● KS C 4202  일반용 저압 3상 유도 전동기</w:t>
      </w:r>
    </w:p>
    <w:p>
      <w:r>
        <w:t>(2) (사)대한설비공학회</w:t>
      </w:r>
    </w:p>
    <w:p>
      <w:r>
        <w:t>● SAREK 표준 601-2013 제연설비 TAB 절차</w:t>
      </w:r>
    </w:p>
    <w:p>
      <w:pPr>
        <w:pStyle w:val="Heading2"/>
      </w:pPr>
      <w:r>
        <w:t>1.3 용어의 정의</w:t>
      </w:r>
    </w:p>
    <w:p>
      <w:r>
        <w:t>기준의 용어 정의는 KCS 31 10 10(1.3)을 참조한다.</w:t>
      </w:r>
    </w:p>
    <w:p>
      <w:pPr>
        <w:pStyle w:val="Heading1"/>
      </w:pPr>
      <w:r>
        <w:t>2. 자재</w:t>
      </w:r>
    </w:p>
    <w:p>
      <w:pPr>
        <w:pStyle w:val="Heading2"/>
      </w:pPr>
      <w:r>
        <w:t>2.1 배관재료</w:t>
      </w:r>
    </w:p>
    <w:p>
      <w:r>
        <w:t>(1) 배관과 관이음쇠는 KCS 31 20 15 기준에 따른다.</w:t>
      </w:r>
    </w:p>
    <w:p>
      <w:r>
        <w:t>(2) 급수를 차단할 수 있는 개폐밸브는 개폐표시형으로(펌프의 흡입측에 버터플라이 밸브외의 개폐 표시형 밸브(OS &amp; Y gate valve)를 설치)하며， 모든 밸브류는 사용압에서 이상이 없는 구조의 것으로  KCS 31 20 15(2.2) 에 따른다.</w:t>
      </w:r>
    </w:p>
    <w:p>
      <w:pPr>
        <w:pStyle w:val="Heading2"/>
      </w:pPr>
      <w:r>
        <w:t>2.2 가압송수장치</w:t>
      </w:r>
    </w:p>
    <w:p>
      <w:pPr>
        <w:pStyle w:val="Heading3"/>
      </w:pPr>
      <w:r>
        <w:t>2.2.1 펌프</w:t>
      </w:r>
    </w:p>
    <w:p>
      <w:r>
        <w:t>KS B 7501, KS B 6318의 규정에 따른다.</w:t>
      </w:r>
    </w:p>
    <w:p>
      <w:pPr>
        <w:pStyle w:val="Heading3"/>
      </w:pPr>
      <w:r>
        <w:t>2.2.2 기동장치</w:t>
      </w:r>
    </w:p>
    <w:p>
      <w:r>
        <w:t>(1) 기동용 수압개폐장치(압력챔버 등)</w:t>
      </w:r>
    </w:p>
    <w:p>
      <w:r>
        <w:t>① 기동용 수압개폐장치(압력탱크)를 사용할 경우 내용적 100L 이상으로 하고 최고 수위에서 기준 이상의 방수압에 견딜 수 있는 강도를 가져야 한다.</w:t>
      </w:r>
    </w:p>
    <w:p>
      <w:r>
        <w:t>② 기동용 수압개폐장치(압력탱크)는 압력용기 기준에 적합한 것으로 한다.</w:t>
      </w:r>
    </w:p>
    <w:p>
      <w:r>
        <w:t>③ 기동용 수압개폐장치(압력탱크)는 펌프 토출측 체크밸브의 2차측 배관에 관지름 25mm 이상의 배관으로 연결한다.</w:t>
      </w:r>
    </w:p>
    <w:p>
      <w:r>
        <w:t>(2) 기동장치는 기동용 수압개폐장치 또는 이와 동등 이상의 성능이 있는 것을 설치한다.</w:t>
      </w:r>
    </w:p>
    <w:p>
      <w:r>
        <w:t>(3) 동결의 우려가 있는 장소에 있어서는 기동스위치에 보호판을 부착하여 옥내소화전함, 옥외소화전함 내에 설치한다.</w:t>
      </w:r>
    </w:p>
    <w:p>
      <w:pPr>
        <w:pStyle w:val="Heading3"/>
      </w:pPr>
      <w:r>
        <w:t>2.2.3 전동기</w:t>
      </w:r>
    </w:p>
    <w:p>
      <w:r>
        <w:t>교류전동기는 KCS 31 65 30에 따른다.</w:t>
      </w:r>
    </w:p>
    <w:p>
      <w:pPr>
        <w:pStyle w:val="Heading2"/>
      </w:pPr>
      <w:r>
        <w:t>2.3 엔진펌프</w:t>
      </w:r>
    </w:p>
    <w:p>
      <w:r>
        <w:t>(1) 가압송수장치로 내연기관을 사용하는 경우에는 다음의 기준에 적합한 것으로 한다.</w:t>
      </w:r>
    </w:p>
    <w:p>
      <w:r>
        <w:t>(2) 내연기관의 기동은 기동용 수압개폐장치 또는 이와 동등 이상의 성능이 있는 기동장치를 설치하거나 또는 소화전함의 위치에서 원격조작이 가능하고 기동을 명시하는 적색등을 설치한다.</w:t>
      </w:r>
    </w:p>
    <w:p>
      <w:r>
        <w:t>(3) 제어반에 따라 내연기관의 자동기동 및 수동기동이 가능하고, 상시 충전되어 있는 축전지 설비를 갖추어야 한다.</w:t>
      </w:r>
    </w:p>
    <w:p>
      <w:pPr>
        <w:pStyle w:val="Heading1"/>
      </w:pPr>
      <w:r>
        <w:t>3. 시공</w:t>
      </w:r>
    </w:p>
    <w:p>
      <w:pPr>
        <w:pStyle w:val="Heading2"/>
      </w:pPr>
      <w:r>
        <w:t>3.1 가압송수장치의 설치</w:t>
      </w:r>
    </w:p>
    <w:p>
      <w:pPr>
        <w:pStyle w:val="Heading3"/>
      </w:pPr>
      <w:r>
        <w:t>3.1.1 펌프</w:t>
      </w:r>
    </w:p>
    <w:p>
      <w:r>
        <w:t>KCS 31 30 15(3.2)에 따른다.</w:t>
      </w:r>
    </w:p>
    <w:p>
      <w:pPr>
        <w:pStyle w:val="Heading3"/>
      </w:pPr>
      <w:r>
        <w:t>3.1.2 전동기</w:t>
      </w:r>
    </w:p>
    <w:p>
      <w:r>
        <w:t>(1) 소화펌프용 전동기 전원을 전기실로부터 전용회로로 구성하며 상용전원의 차단시에도 계속 공급 가능하게 한다.</w:t>
      </w:r>
    </w:p>
    <w:p>
      <w:r>
        <w:t>(2) 펌프실에 이르는 전선로는 화재로 인하여 피해를 받지 않는 곳에 설치한다.</w:t>
      </w:r>
    </w:p>
    <w:p>
      <w:pPr>
        <w:pStyle w:val="Heading3"/>
      </w:pPr>
      <w:r>
        <w:t>3.1.3 스위치 부착</w:t>
      </w:r>
    </w:p>
    <w:p>
      <w:r>
        <w:t>기동스위치의 부착위치는 바닥으로부터 높이 0.8m 이상, 1.5m 이하의 눈에 띄기 쉬운 곳에 설치한다.</w:t>
      </w:r>
    </w:p>
    <w:p>
      <w:pPr>
        <w:pStyle w:val="Heading3"/>
      </w:pPr>
      <w:r>
        <w:t>3.1.4 소화전 조작반의 설치위치</w:t>
      </w:r>
    </w:p>
    <w:p>
      <w:r>
        <w:t>점검, 소화작업 및 피난 통로 등, 통행이 편리하고 화재 등에 대한 연소위험이 적은 곳에 설치한다.</w:t>
      </w:r>
    </w:p>
    <w:p>
      <w:pPr>
        <w:pStyle w:val="Heading2"/>
      </w:pPr>
      <w:r>
        <w:t>3.2 물올림장치</w:t>
      </w:r>
    </w:p>
    <w:p>
      <w:r>
        <w:t>(1) 수원의 수위가 펌프보다 낮은 위치에 있는 가압송수장치에는 물올림 장치를 설치한다.</w:t>
      </w:r>
    </w:p>
    <w:p>
      <w:r>
        <w:t>(2) 물올림 탱크는 전용으로 한다.</w:t>
      </w:r>
    </w:p>
    <w:p>
      <w:r>
        <w:t>(3) 물올림 탱크는 유효수량 100ℓ 이상으로 하되, 구경 15 mm 이상의 급수배관에 따라 당해 탱크에 물이 계속 보급되도록 한다.</w:t>
      </w:r>
    </w:p>
    <w:p>
      <w:r>
        <w:t>(4) 물올림 탱크에는 넘침관, 배수관, 물채움 배관 등을 설치한다.</w:t>
      </w:r>
    </w:p>
    <w:p>
      <w:r>
        <w:t>(5) 물올림 탱크에는 감수경보장치를 설치, 저수량이 1/2로 감소하면 레벨 스위치나 플로트 스위치에 의해 경보를 울리는 것으로 한다.</w:t>
      </w:r>
    </w:p>
    <w:p>
      <w:pPr>
        <w:pStyle w:val="Heading2"/>
      </w:pPr>
      <w:r>
        <w:t>3.3 펌프성능 시험장치</w:t>
      </w:r>
    </w:p>
    <w:p>
      <w:r>
        <w:t>(1) 펌프성능 시험장치의 배관은 펌프 토출측에 설치한 개폐밸브 이전에서 분기하여 설치하고, 유량측정장치를 기준으로 전단 직관부에 개폐밸브를 후단 직관부에는 유량조절밸브를 설치한다.</w:t>
      </w:r>
    </w:p>
    <w:p>
      <w:r>
        <w:t>(2) 펌프성능 시험장치에 유량계를 설치할 경우는 차압식 등으로 하고 정격토출량의 175%까지 측정할 수 있는 것으로  한다.</w:t>
      </w:r>
    </w:p>
    <w:p>
      <w:pPr>
        <w:pStyle w:val="Heading2"/>
      </w:pPr>
      <w:r>
        <w:t>3.4 배관</w:t>
      </w:r>
    </w:p>
    <w:p>
      <w:pPr>
        <w:pStyle w:val="Heading3"/>
      </w:pPr>
      <w:r>
        <w:t>3.4.1 일반배관</w:t>
      </w:r>
    </w:p>
    <w:p>
      <w:r>
        <w:t>(1) 동결방지 조치를 하거나 동결의 우려가 없는 곳에 설치한다. 단, 보온재를 사용할 경우에는 난연재료 성능이상의 것으로 한다.</w:t>
      </w:r>
    </w:p>
    <w:p>
      <w:r>
        <w:t>(2) 급수배관에 설치되어 급수를 차단할 수 있는 개폐밸브는 개폐표시형으로 한다. 이 경우 펌프의 흡입측 배관에는 버터플라이밸브 외의 개폐표시형 밸브를 설치한다.</w:t>
      </w:r>
    </w:p>
    <w:p>
      <w:r>
        <w:t>(3) 배관은 다른 설비의 배관과 쉽게 구분이 될 수 있는 위치에 설치하거나 그 배관 표면 또는 배관보온재표면의 색상은 적색으로 소방용 설비의 배관임을 표시한다.</w:t>
      </w:r>
    </w:p>
    <w:p>
      <w:pPr>
        <w:pStyle w:val="Heading3"/>
      </w:pPr>
      <w:r>
        <w:t>3.4.2 펌프주위배관</w:t>
      </w:r>
    </w:p>
    <w:p>
      <w:r>
        <w:t>(1) 펌프의 흡입측 배관은 공기고임이 생기지 않는 구조로 하고 여과장치를 설치한다.</w:t>
      </w:r>
    </w:p>
    <w:p>
      <w:r>
        <w:t>(2) 배관의 하중 및 비틀림이 펌프에 전달되지 않도록 한다.</w:t>
      </w:r>
    </w:p>
    <w:p>
      <w:r>
        <w:t>(3) 펌프의 성능시험배관은 펌프의 토출측에 설치된 개폐밸브 이전에서 분기하며, 체절운전 시 정격토출압력의 140 %를 초과하지 않고, 정격토출량의 150 %로 운전 시 정격토출압력의 65 % 이상, 펌프 토출량의 175% 이상을 측정할 수 있는 유량측정장치를 설치한다.</w:t>
      </w:r>
    </w:p>
    <w:p>
      <w:pPr>
        <w:pStyle w:val="Heading3"/>
      </w:pPr>
      <w:r>
        <w:t>3.4.3 관내의 점검, 청소, 배관 끝의 보호</w:t>
      </w:r>
    </w:p>
    <w:p>
      <w:r>
        <w:t>모든 관은 접합하기 전에 관내부를 점검하고 이물질을 제거하기 위한 청소를 한다.</w:t>
      </w:r>
    </w:p>
    <w:p>
      <w:pPr>
        <w:pStyle w:val="Heading3"/>
      </w:pPr>
      <w:r>
        <w:t>3.4.4 배관의 신축 및 충격에 대한 처리</w:t>
      </w:r>
    </w:p>
    <w:p>
      <w:r>
        <w:t>(1) 배관은 팽창, 신축, 충격 등의 응력에 견디거나 또는 흡수할 수 있는 구조로 한다.</w:t>
      </w:r>
    </w:p>
    <w:p>
      <w:r>
        <w:t>(2) 지하매설부에서 지상으로 노출되는 부분 또는 기초가 다른 기기류와의 접속부의 배관에는 스윙배관벤드, 신축이음쇠, 혹은 플렉시블호스 등의 적합한 신축이음쇠를 부착한다.</w:t>
      </w:r>
    </w:p>
    <w:p>
      <w:pPr>
        <w:pStyle w:val="Heading3"/>
      </w:pPr>
      <w:r>
        <w:t>3.4.5 지지고정</w:t>
      </w:r>
    </w:p>
    <w:p>
      <w:r>
        <w:t>KCS 31 20 15(3.4)에 따른다.</w:t>
      </w:r>
    </w:p>
    <w:p>
      <w:pPr>
        <w:pStyle w:val="Heading3"/>
      </w:pPr>
      <w:r>
        <w:t>3.4.6 배관준비</w:t>
      </w:r>
    </w:p>
    <w:p>
      <w:r>
        <w:t>KCS 31 20 15(3.1.1)에 따른다.</w:t>
      </w:r>
    </w:p>
    <w:p>
      <w:pPr>
        <w:pStyle w:val="Heading3"/>
      </w:pPr>
      <w:r>
        <w:t>3.4.7 관의 절단 및 절단부위의 처리</w:t>
      </w:r>
    </w:p>
    <w:p>
      <w:r>
        <w:t>KCS 31 20 15(3.1.2)에 따른다.</w:t>
      </w:r>
    </w:p>
    <w:p>
      <w:pPr>
        <w:pStyle w:val="Heading3"/>
      </w:pPr>
      <w:r>
        <w:t>3.4.8 관의 접합</w:t>
      </w:r>
    </w:p>
    <w:p>
      <w:r>
        <w:t>KCS 31 20 15(3.2)에 따른다.</w:t>
      </w:r>
    </w:p>
    <w:p>
      <w:pPr>
        <w:pStyle w:val="Heading3"/>
      </w:pPr>
      <w:r>
        <w:t>3.4.9 배관의 보호</w:t>
      </w:r>
    </w:p>
    <w:p>
      <w:r>
        <w:t>KCS 31 20 1(3.1.3)에 따른다.</w:t>
      </w:r>
    </w:p>
    <w:p>
      <w:pPr>
        <w:pStyle w:val="Heading3"/>
      </w:pPr>
      <w:r>
        <w:t>3.4.10 관통처리</w:t>
      </w:r>
    </w:p>
    <w:p>
      <w:r>
        <w:t>KCS 31 20 15(3.6)에 따른다.</w:t>
      </w:r>
    </w:p>
    <w:p>
      <w:pPr>
        <w:pStyle w:val="Heading2"/>
      </w:pPr>
      <w:r>
        <w:t>3.5 전원</w:t>
      </w:r>
    </w:p>
    <w:p>
      <w:r>
        <w:t>(1) 저압수전인 경우에는 인입개폐기의 직후에서 분기하여 전용배선으로 하며, 전용 전선관으로 보호되도록 한다.</w:t>
      </w:r>
    </w:p>
    <w:p>
      <w:r>
        <w:t>(2) 특고압수전 또는 고압수전일 경우에는 전력용 변압기 2차측의 주차단기 1차 측에서 분기하여 전용배선으로 하되, 상용전원의 상시공급에 지장이 없을 경우에는 주차단기 2차측에서 분기하여 전용배선으로 한다.</w:t>
      </w:r>
    </w:p>
    <w:p>
      <w:pPr>
        <w:pStyle w:val="Heading2"/>
      </w:pPr>
      <w:r>
        <w:t>3.6 시험 및 검사</w:t>
      </w:r>
    </w:p>
    <w:p>
      <w:pPr>
        <w:pStyle w:val="Heading3"/>
      </w:pPr>
      <w:r>
        <w:t>3.6.1 물계통 소화설비의 시험 및 검사</w:t>
      </w:r>
    </w:p>
    <w:p>
      <w:r>
        <w:t>(1) 제품시험 및 검사
 KCS 31 30 15(3.8.1)에 따른다.</w:t>
      </w:r>
    </w:p>
    <w:p>
      <w:r>
        <w:t>(2) 현장시험 및 검사</w:t>
      </w:r>
    </w:p>
    <w:p>
      <w:r>
        <w:t>① 기기, 기구의 설치 검사
 KCS 31 30 15(3.8.2(1))에 따른다.</w:t>
      </w:r>
    </w:p>
    <w:p>
      <w:r>
        <w:t>② 수압시험
 배관의 일부분 또는 전부분에 대하여 은폐, 매설전 및 방로, 피복공사 전에 해야 하며 수압시험은 KCS 31 20 15(3.15)에 따른다.</w:t>
      </w:r>
    </w:p>
    <w:p>
      <w:r>
        <w:t>③ 기동장치시험 및 펌프시동 표시시험은 다음 표에 의한다.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p>
            <w:r>
              <w:t>소화설비의 종류</w:t>
            </w:r>
          </w:p>
        </w:tc>
        <w:tc>
          <w:p>
            <w:r>
              <w:t>시험 방법</w:t>
            </w:r>
          </w:p>
        </w:tc>
      </w:tr>
      <w:tr>
        <w:tc>
          <w:p>
            <w:r>
              <w:t>옥내소화전설비
    옥외소화전설비
    연결송수관설비
    소화용수설비</w:t>
            </w:r>
          </w:p>
        </w:tc>
        <w:tc>
          <w:p>
            <w:r>
              <w:t>직접조작과 원격조작을 하는 것은 원격기동에 의해서 기동을 할 때, 가압송수장치의 기동 및 기동표시등의 점등 또는 점멸을 확인한다. 또한, 가압송수장치의 정지는 제어반 또는 기동반의 직접조작에 의해서 확인한다.</w:t>
            </w:r>
          </w:p>
        </w:tc>
      </w:tr>
      <w:tr>
        <w:tc>
          <w:p>
            <w:r>
              <w:t>스프링클러설비
    간이스프링클러
    설비
    물분무소화설비
    포소화설비</w:t>
            </w:r>
          </w:p>
        </w:tc>
        <w:tc>
          <w:p>
            <w:r>
              <w:t>① 자동식：폐쇄형 스프링클러헤드를 사용하는 것은 말단시험밸브 및 기동장치를 직접조작에 의해서, 개방형 스프링클러헤드를 사용하거나 물분무소화설비, 포소화설비는 화재감지부(원격기동의 경우 당해 조작부)의 작동 및 기동장치를 직접조작하여 가압송수장치의 기동 및 일제(一齊)개방밸브의 개방여부를 확인한다. 또한, 가압송수장치의 정지는 제어반 또는 기동반의 직접조작에 의해 확인한다.
    ② 수동식：직접조작 또는 원격조작에 의해서, 수동개방밸브 또는 일제(一齊)개방밸브의 개방 여부를 확인하고, 한편 가압송수장치의 기동을 확인한다. 또한, 가압송수장치의 정지는 제어반 또는 기동반의 직접조작에 의해 확인한다.</w:t>
            </w:r>
          </w:p>
        </w:tc>
      </w:tr>
    </w:tbl>
    <w:p>
      <w:r>
        <w:t>④ 펌프시험
 기기 및 장치가 설계도서에서 요구하는 기능을 만족하는가를 확인한다.</w:t>
      </w:r>
    </w:p>
    <w:p>
      <w:r>
        <w:t>⑤ 가압송수장치의 시험
 종류별로 시험을 하여 그 요구특성을 만족하는가를 확인한다.</w:t>
      </w:r>
    </w:p>
    <w:p>
      <w:r>
        <w:t>⑥ 방사시험은 다음 표에 의한다.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p>
            <w:r>
              <w:t>소화시설의 종류</w:t>
            </w:r>
          </w:p>
        </w:tc>
        <w:tc>
          <w:p>
            <w:r>
              <w:t>시험 방법</w:t>
            </w:r>
          </w:p>
        </w:tc>
      </w:tr>
      <w:tr>
        <w:tc>
          <w:p>
            <w:r>
              <w:t>옥내소화전설비</w:t>
            </w:r>
          </w:p>
        </w:tc>
        <w:tc>
          <w:p>
            <w:r>
              <w:t>규정된 갯수의 옥내소화전을 동시에 사용하는 경우에는 각 소화전의 노즐선단에서의 방수압력이 0.17 MPa 이상 0.7 MPa 이하이고, 방수량은 130ℓ/min 이상인가를 확인한다.</w:t>
            </w:r>
          </w:p>
        </w:tc>
      </w:tr>
      <w:tr>
        <w:tc>
          <w:p>
            <w:r>
              <w:t>옥외소화전설비</w:t>
            </w:r>
          </w:p>
        </w:tc>
        <w:tc>
          <w:p>
            <w:r>
              <w:t>규정된 갯수의 옥외소화전을 동시에 사용하는 경우에는 각 소화전의 노즐선단에서의 방수압력이 0.25 MPa 이상 0.7 MPa 이하이고, 방수량은 350ℓ/min 이상인가를 확인한다.</w:t>
            </w:r>
          </w:p>
        </w:tc>
      </w:tr>
      <w:tr>
        <w:tc>
          <w:p>
            <w:r>
              <w:t>스프링클러설비</w:t>
            </w:r>
          </w:p>
        </w:tc>
        <w:tc>
          <w:p>
            <w:r>
              <w:t>규정된 갯수의 스프링클러 헤드를 동시에 사용하는 경우에는 각 헤드의 방수압력은 0.1 MPa 이상 1.2 MPa 이하이고, 방수량은 80ℓ/min 이상인가를 확인한다.</w:t>
            </w:r>
          </w:p>
        </w:tc>
      </w:tr>
      <w:tr>
        <w:tc>
          <w:p>
            <w:r>
              <w:t>간이스프링클러
    설비</w:t>
            </w:r>
          </w:p>
        </w:tc>
        <w:tc>
          <w:p>
            <w:r>
              <w:t>가장 먼 가지배관에서 2개의 간이헤드를 동시에 개방할 경우, 간이헤드 선단의 방수압력은 0.1 MPa 이상, 간이스프링클러헤드 1개의 방수량은 50ℓ/min(표준형헤드를 설치하는 경우에는 80ℓ/min) 이상인가를 확인한다.</w:t>
            </w:r>
          </w:p>
        </w:tc>
      </w:tr>
      <w:tr>
        <w:tc>
          <w:p>
            <w:r>
              <w:t>물분무소화설비</w:t>
            </w:r>
          </w:p>
        </w:tc>
        <w:tc>
          <w:p>
            <w:r>
              <w:t>제어반 또는 일제개방밸브의 수동 기동장치 또는 방호 대상물에 설치된 감지기를 인위적으로 동작시켜 사이렌 등의 제어계통 및 일제개방 밸브가 원활하게 작동되어 설계압력, 유량 및 분사각도 등을 방수압력 측정기를 이용하여 시험한다.</w:t>
            </w:r>
          </w:p>
        </w:tc>
      </w:tr>
      <w:tr>
        <w:tc>
          <w:p>
            <w:r>
              <w:t>포 소 화 설 비</w:t>
            </w:r>
          </w:p>
        </w:tc>
        <w:tc>
          <w:p>
            <w:r>
              <w:t>포소화약제를 사용하지 않고 물에 의한 방사시험을 방사구역 , 방호구획 또는 포노즐마다 시행하여 소정의 기능을 확인한 후, 적당한 구역, 구획 또는 포노즐의 설치장소 중 방사 등의 조건이 다른 2개 이상을 택하여 포수용액을 방사하고 포소화약제의 혼합농도가 소정의 범위 내에 있는가를 확인한다.</w:t>
            </w:r>
          </w:p>
        </w:tc>
      </w:tr>
      <w:tr>
        <w:tc>
          <w:p>
            <w:r>
              <w:t>연결송수관설비</w:t>
            </w:r>
          </w:p>
        </w:tc>
        <w:tc>
          <w:p>
            <w:r>
              <w:t>1)동력소방펌프에 의해서 송수구에서 송수하여 방수압력이 가장 낮은 방수구에서 소요 방수용 기구를 사용하여 방수하는 경우, 방수 및 송수가 가능한지를 확인한다.
    2)부스터 펌프를 설치한 것은 1)의 방수구의 위치를 동력소방펌프가 감당하는 부분과 부스터펌프가 감당하는 부분을 구분하여 시험을 하는 경우, 방수 및 송수가 가능한지를 확인한다.</w:t>
            </w:r>
          </w:p>
        </w:tc>
      </w:tr>
      <w:tr>
        <w:tc>
          <w:p>
            <w:r>
              <w:t>연결살수설비</w:t>
            </w:r>
          </w:p>
        </w:tc>
        <w:tc>
          <w:p>
            <w:r>
              <w:t>선택밸브를 사용한 설비에 있어서는 동력소방펌프로 송수하여 선택밸브의 기능 및 송수구역과 선택밸브의 일치 여부를 시험한다. 헤드로부터 살수가 곤란한 경우에는 테스트용 밸브를 사용한다.</w:t>
            </w:r>
          </w:p>
        </w:tc>
      </w:tr>
    </w:tbl>
    <w:p>
      <w:pPr>
        <w:pStyle w:val="Heading3"/>
      </w:pPr>
      <w:r>
        <w:t>3.6.2 가스계통 소화설비의 시험 및 검사</w:t>
      </w:r>
    </w:p>
    <w:p>
      <w:r>
        <w:t>(1) 제품시험 및 검사
 KCS 31 30 15(3.8.1)에 따른다.</w:t>
      </w:r>
    </w:p>
    <w:p>
      <w:r>
        <w:t>(2) 현장시험 및 검사</w:t>
      </w:r>
    </w:p>
    <w:p>
      <w:r>
        <w:t>① 기기, 기구의 설치 검사
 KCS 31 30 15(3.8.2(1))에 따른다.</w:t>
      </w:r>
    </w:p>
    <w:p>
      <w:r>
        <w:t>② 기압시험
 기압시험은 그 일부 또는 전 배관에 대해 은폐 되메우기 전에 국가화재안전성능기준 및 기술기준에 의해 시험을 하고 배관에서 누기를 감시한다.</w:t>
      </w:r>
    </w:p>
    <w:p>
      <w:r>
        <w:t>③ 기동장치시험
 용기밸브 개방장치를 기동용 가스용기 또는 저장용기로부터 분리하여 수동기동장치 또는 조작반으로 조작하고, 자동기동장치에 있어서는 감지기 등을 작동시켰을 때 허용시간 내에 작동이 확실하게 한다.</w:t>
      </w:r>
    </w:p>
    <w:p>
      <w:r>
        <w:t>④ 방출시험
 각 방호구역 또는 방호대상물마다 설치되어 있는 수동기동장치를 조작하고, 자동기동장치에 있어서는 감지기를 작동시켰을 때 소정음량의 음향경보장치가 울린 후 방출용 스위치를 조작하였을 경우 방호구역 또는 방호대상물에 적용하는 선택밸브가 확실하게 작동하고 분사헤드에서 방출되어야 한다. 이 경우 방호구역의 출입구 등에 설치된 가스방출 표시등이 점등되어야 한다.</w:t>
      </w:r>
    </w:p>
    <w:sectPr>
      <w:footerReference w:type="default" r:id="rId3"/>
    </w:sectPr>
  </w:body>
</w:document>
</file>

<file path=word/footer1.xml><?xml version="1.0" encoding="utf-8"?>
<w:ftr xmlns:w="http://schemas.openxmlformats.org/wordprocessingml/2006/main">
  <w:p>
    <w:pPr>
      <w:jc w:val="center"/>
    </w:pPr>
    <w:r>
      <w:rPr>
        <w:sz w:val="16"/>
      </w:rPr>
      <w:t>출처: 국토교통부 고시 「건설기준 코드」 KCS 31 80 05 : 2026 · 비교담 자료마당(bigyodam.com)에서 내려받음</w:t>
    </w:r>
  </w:p>
</w:ftr>
</file>

<file path=word/settings.xml><?xml version="1.0" encoding="utf-8"?>
<w:settings xmlns:w="http://schemas.openxmlformats.org/wordprocessingml/2006/main"/>
</file>

<file path=word/styles.xml><?xml version="1.0" encoding="utf-8"?>
<w:styles xmlns:w="http://schemas.openxmlformats.org/wordprocessingml/2006/main">
  <w:style w:styleId="Heading1" w:type="paragraph">
    <w:name w:val="heading 1"/>
    <w:pPr>
      <w:outlineLvl w:val="0"/>
    </w:pPr>
    <w:rPr>
      <w:b/>
      <w:sz w:val="32"/>
    </w:rPr>
  </w:style>
  <w:style w:styleId="Heading2" w:type="paragraph">
    <w:name w:val="heading 2"/>
    <w:pPr>
      <w:outlineLvl w:val="1"/>
    </w:pPr>
    <w:rPr>
      <w:b/>
      <w:sz w:val="28"/>
    </w:rPr>
  </w:style>
  <w:style w:styleId="Heading3" w:type="paragraph">
    <w:name w:val="heading 3"/>
    <w:pPr>
      <w:outlineLvl w:val="2"/>
    </w:pPr>
    <w:rPr>
      <w:b/>
      <w:sz w:val="24"/>
    </w:rPr>
  </w:style>
</w:styles>
</file>

<file path=word/_rels/document.xml.rels><?xml version="1.0" encoding="UTF-8" standalone="yes"?><Relationships xmlns="http://schemas.openxmlformats.org/package/2006/relationships"><Relationship Id="rId1" Target="settings.xml" Type="http://schemas.openxmlformats.org/officeDocument/2006/relationships/settings"/><Relationship Id="rId2" Target="styles.xml" Type="http://schemas.openxmlformats.org/officeDocument/2006/relationships/styles"/><Relationship Id="rId3" Target="footer1.xml" Type="http://schemas.openxmlformats.org/officeDocument/2006/relationships/footer"/></Relationships>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2026-09-14T08:49:16Z</dcterms:created>
  <dc:creator>Apache POI</dc:creator>
</cp:coreProperties>
</file>