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</w:pPr>
      <w:r>
        <w:rPr>
          <w:b w:val="on"/>
          <w:sz w:val="40"/>
        </w:rPr>
        <w:t>KCS 31 80 30  포소화설비공사</w:t>
      </w:r>
    </w:p>
    <w:p>
      <w:pPr>
        <w:jc w:val="center"/>
      </w:pPr>
      <w:r>
        <w:t>2026년 판 · 2026-02-24 개정 · 국토교통부 고시 · 국가건설기준센터 공개 원문</w:t>
      </w:r>
    </w:p>
    <w:p>
      <w:pPr>
        <w:pStyle w:val="Heading1"/>
      </w:pPr>
      <w:r>
        <w:t>1. 일반사항</w:t>
      </w:r>
    </w:p>
    <w:p>
      <w:pPr>
        <w:pStyle w:val="Heading2"/>
      </w:pPr>
      <w:r>
        <w:t>1.1 적용범위</w:t>
      </w:r>
    </w:p>
    <w:p>
      <w:r>
        <w:t>이 기준은 포소화 설비공사에 적용한다.</w:t>
      </w:r>
    </w:p>
    <w:p>
      <w:pPr>
        <w:pStyle w:val="Heading2"/>
      </w:pPr>
      <w:r>
        <w:t>1.2 참고기준</w:t>
      </w:r>
    </w:p>
    <w:p>
      <w:r>
        <w:t>KCS 31 80 05(1.2)에 따른다.</w:t>
      </w:r>
    </w:p>
    <w:p>
      <w:pPr>
        <w:pStyle w:val="Heading2"/>
      </w:pPr>
      <w:r>
        <w:t>1.3 용어의 정의</w:t>
      </w:r>
    </w:p>
    <w:p>
      <w:r>
        <w:t>기준의 용어 정의는 KCS 31 10 10(1.3)을 참조한다.</w:t>
      </w:r>
    </w:p>
    <w:p>
      <w:pPr>
        <w:pStyle w:val="Heading1"/>
      </w:pPr>
      <w:r>
        <w:t>2. 자재</w:t>
      </w:r>
    </w:p>
    <w:p>
      <w:pPr>
        <w:pStyle w:val="Heading2"/>
      </w:pPr>
      <w:r>
        <w:t>2.1 개방밸브</w:t>
      </w:r>
    </w:p>
    <w:p>
      <w:r>
        <w:t>(1) 자동식 개방밸브는 화재감지장치의 작동에 따라 자동으로 개방되는 것으로 한다.</w:t>
      </w:r>
    </w:p>
    <w:p>
      <w:r>
        <w:t>(2) 수동식 개방밸브는 화재 시 쉽게 접근할 수 있는 곳에 설치한다.</w:t>
      </w:r>
    </w:p>
    <w:p>
      <w:pPr>
        <w:pStyle w:val="Heading2"/>
      </w:pPr>
      <w:r>
        <w:t>2.2 포소화약제의 종류</w:t>
      </w:r>
    </w:p>
    <w:p>
      <w:r>
        <w:t>포소화약제의 종류는 다음 표와 같다.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t>약제의 종류</w:t>
            </w:r>
          </w:p>
        </w:tc>
        <w:tc>
          <w:p>
            <w:r>
              <w:t>사용
    농도</w:t>
            </w:r>
          </w:p>
        </w:tc>
        <w:tc>
          <w:p>
            <w:r>
              <w:t>적용대상물</w:t>
            </w:r>
          </w:p>
        </w:tc>
        <w:tc>
          <w:p>
            <w:r>
              <w:t>약제의 종류</w:t>
            </w:r>
          </w:p>
        </w:tc>
        <w:tc>
          <w:p>
            <w:r>
              <w:t>사용
    농도</w:t>
            </w:r>
          </w:p>
        </w:tc>
        <w:tc>
          <w:p>
            <w:r>
              <w:t>적용대상물</w:t>
            </w:r>
          </w:p>
        </w:tc>
      </w:tr>
      <w:tr>
        <w:tc>
          <w:p>
            <w:r>
              <w:t>단백포
    (protein foam)</w:t>
            </w:r>
          </w:p>
        </w:tc>
        <w:tc>
          <w:p>
            <w:r>
              <w:t>3%
    6%</w:t>
            </w:r>
          </w:p>
        </w:tc>
        <w:tc>
          <w:p>
            <w:r>
              <w:t>석유류탱크</w:t>
            </w:r>
          </w:p>
        </w:tc>
        <w:tc>
          <w:p>
            <w:r>
              <w:t>수성막포
    (aqueous film
    forming foam)</w:t>
            </w:r>
          </w:p>
        </w:tc>
        <w:tc>
          <w:p>
            <w:r>
              <w:t>3%
    6%</w:t>
            </w:r>
          </w:p>
        </w:tc>
        <w:tc>
          <w:p>
            <w:r>
              <w:t>유류탱크
    화학공장</w:t>
            </w:r>
          </w:p>
        </w:tc>
      </w:tr>
      <w:tr>
        <w:tc>
          <w:p>
            <w:r>
              <w:t>불화단백포
    (flouroprotein
    foam)</w:t>
            </w:r>
          </w:p>
        </w:tc>
        <w:tc>
          <w:p>
            <w:r>
              <w:t>3%
    6%</w:t>
            </w:r>
          </w:p>
        </w:tc>
        <w:tc>
          <w:p>
            <w:r>
              <w:t>석유류탱크</w:t>
            </w:r>
          </w:p>
        </w:tc>
        <w:tc>
          <w:p>
            <w:r>
              <w:t>알콜형포
    (alcohol
    resistant)</w:t>
            </w:r>
          </w:p>
        </w:tc>
        <w:tc>
          <w:p>
            <w:r>
              <w:t>3%</w:t>
            </w:r>
          </w:p>
        </w:tc>
        <w:tc>
          <w:p>
            <w:r>
              <w:t/>
            </w:r>
          </w:p>
        </w:tc>
      </w:tr>
      <w:tr>
        <w:tc>
          <w:p>
            <w:r>
              <w:t>합성계면활성제포
    (synthetic foam)</w:t>
            </w:r>
          </w:p>
        </w:tc>
        <w:tc>
          <w:p>
            <w:r>
              <w:t>3%
    6%</w:t>
            </w:r>
          </w:p>
        </w:tc>
        <w:tc>
          <w:p>
            <w:r>
              <w:t>고압,액화가스
    화학공장
    위험물저장소</w:t>
            </w:r>
          </w:p>
        </w:tc>
        <w:tc>
          <w:p>
            <w:r>
              <w:t>화학포
    (chemical foam)</w:t>
            </w:r>
          </w:p>
        </w:tc>
        <w:tc>
          <w:p>
            <w:r>
              <w:t/>
            </w:r>
          </w:p>
        </w:tc>
        <w:tc>
          <w:p>
            <w:r>
              <w:t/>
            </w:r>
          </w:p>
        </w:tc>
      </w:tr>
    </w:tbl>
    <w:p>
      <w:pPr>
        <w:pStyle w:val="Heading2"/>
      </w:pPr>
      <w:r>
        <w:t>2.3 감지장치</w:t>
      </w:r>
    </w:p>
    <w:p>
      <w:r>
        <w:t>(1) 자동 화재탐지설비용 감지기에 의한 방법</w:t>
      </w:r>
    </w:p>
    <w:p>
      <w:r>
        <w:t>(2) 폐쇄형 스프링클러 헤드에 의한 방법</w:t>
      </w:r>
    </w:p>
    <w:p>
      <w:pPr>
        <w:pStyle w:val="Heading2"/>
      </w:pPr>
      <w:r>
        <w:t>2.4 가압송수장치</w:t>
      </w:r>
    </w:p>
    <w:p>
      <w:r>
        <w:t>KCS 31 80 05(2.2)에 따른다.</w:t>
      </w:r>
    </w:p>
    <w:p>
      <w:pPr>
        <w:pStyle w:val="Heading1"/>
      </w:pPr>
      <w:r>
        <w:t>3. 시공</w:t>
      </w:r>
    </w:p>
    <w:p>
      <w:pPr>
        <w:pStyle w:val="Heading2"/>
      </w:pPr>
      <w:r>
        <w:t>3.1 배관</w:t>
      </w:r>
    </w:p>
    <w:p>
      <w:r>
        <w:t>(1) 송액관은 포의 방출 종료 후 배관안의 액을 배출하기 위한 적당한 기울기를 유지하도록 하고 낮은 부분에 배액밸브를 설치한다.</w:t>
      </w:r>
    </w:p>
    <w:p>
      <w:r>
        <w:t>(2) 위험물 탱크에 부착되는 송액관은 충격 및 진동 등에 의한 영향을 받지 않도록 완충조치를 한다.</w:t>
      </w:r>
    </w:p>
    <w:p>
      <w:r>
        <w:t>(3) 선택밸브의 종별 및 당해밸브가 제어하는 방호구역 또는 방호대상물을 명기한 표지판을 부착한다.</w:t>
      </w:r>
    </w:p>
    <w:p>
      <w:r>
        <w:t>(4) 배관의 행거설치
 KCS 31 20 15(3.4)에 따른다.</w:t>
      </w:r>
    </w:p>
    <w:p>
      <w:pPr>
        <w:pStyle w:val="Heading2"/>
      </w:pPr>
      <w:r>
        <w:t>3.2 포방출구</w:t>
      </w:r>
    </w:p>
    <w:p>
      <w:pPr>
        <w:pStyle w:val="Heading3"/>
      </w:pPr>
      <w:r>
        <w:t>3.2.1 포헤드</w:t>
      </w:r>
    </w:p>
    <w:p>
      <w:r>
        <w:t>(1) 소방대상물의 천장 또는 반자에 설치한다.</w:t>
      </w:r>
    </w:p>
    <w:p>
      <w:r>
        <w:t>(2) 포워터 스프링클러 헤드는 바닥면 8 ㎡마다 1개 이상 설치한다.</w:t>
      </w:r>
    </w:p>
    <w:p>
      <w:r>
        <w:t>(3) 포헤드는 바닥면적 9 ㎡마다 1개 이상 설치한다.</w:t>
      </w:r>
    </w:p>
    <w:p>
      <w:pPr>
        <w:pStyle w:val="Heading3"/>
      </w:pPr>
      <w:r>
        <w:t>3.2.2 고발포용 포방출구</w:t>
      </w:r>
    </w:p>
    <w:p>
      <w:r>
        <w:t>(1) 전역방출방식</w:t>
      </w:r>
    </w:p>
    <w:p>
      <w:r>
        <w:t>① 개구부에 자동폐쇄장치를 설치한다. 다만, 당해 방호구역에서 외부로 새는 양 이상의 포수용액을 유효하게 방출하는 설비를 추가한 경우에는 그러하지 아니하다.</w:t>
      </w:r>
    </w:p>
    <w:p>
      <w:r>
        <w:t>② 고정포 방출구는 바닥면적 500 ㎡마다 1개 이상으로 하여 방호대상물의 화재를 유효하게 소화할 수 있도록 한다.</w:t>
      </w:r>
    </w:p>
    <w:p>
      <w:r>
        <w:t>③ 고정포 방출구는 방호대상물의 최고부분보다 높은 위치에 설치한다. 다만, 밀어 올리는 능력을 가진 것에 있어서는 방호대상물과 같은 높이로 할 수 있다.</w:t>
      </w:r>
    </w:p>
    <w:p>
      <w:r>
        <w:t>(2) 국소방출방식
 방호대상물이 서로 인접하여 불이 쉽게 붙을 우려가 있는 경우에는 불이 옮겨 붙을 우려가 있는 범위 내의 방호대상물은 하나의 방호대상물로 하여 설치한다.</w:t>
      </w:r>
    </w:p>
    <w:p>
      <w:pPr>
        <w:pStyle w:val="Heading3"/>
      </w:pPr>
      <w:r>
        <w:t>3.2.3 호스릴 포소화설비 및 포소화전설비</w:t>
      </w:r>
    </w:p>
    <w:p>
      <w:r>
        <w:t>(1) 소방대상물의 어느 층에 있어서도 그 층에 설치된 호스릴포방수구 또는 포소화전방수구(호스릴포방수구 또는 포소화전방수구가 5개 이상 설치된 경우에는 5개)를 동시에 사용할 경우 각 이동식 포노즐 선단의 포수용액 방사압력이 0.35 MPa 이상이고 300ℓ/min 이상(1개층의 바닥면적이 200 ㎡ 이하인 경우에는 230ℓ/min 이상)의 포수용액을 수평거리 15 m 이상으로 방사할 수 있도록 한다.</w:t>
      </w:r>
    </w:p>
    <w:p>
      <w:r>
        <w:t>(2) 저발포의 포소화약제를 사용할 수 있는 것으로 한다.</w:t>
      </w:r>
    </w:p>
    <w:p>
      <w:r>
        <w:t>(3) 호스릴 또는 호스를 호스릴 포방수구 또는 포소화전방수구로 분리하여 비치하는 때에는 그로부터 3 m 이내의 거리에 호스릴함 또는 호스함을 설치한다.</w:t>
      </w:r>
    </w:p>
    <w:p>
      <w:r>
        <w:t>(4) 호스릴함 또는 호스함은 바닥으로부터 높이 1.5 m 이하의 위치에 설치하고 그 표면에는 ‘포 호스릴함(또는 포소화전함)’이라고 표시한 표지와 적색의 위치표시등을 설치한다.</w:t>
      </w:r>
    </w:p>
    <w:p>
      <w:r>
        <w:t>(5) 방호대상물의 각 부분으로부터 하나의 호스릴 포방수구까지의 수평거리는 15 m 이하(포소화전방수구의 경우에는 25 m 이하)가 되도록 하고 호스릴 또는 호스의 길이는 방호대상물의 각 부분에 포가 유효하게 뿌려질 수 있도록 한다.</w:t>
      </w:r>
    </w:p>
    <w:p>
      <w:pPr>
        <w:pStyle w:val="Heading2"/>
      </w:pPr>
      <w:r>
        <w:t>3.3 포 소화약제 저장탱크</w:t>
      </w:r>
    </w:p>
    <w:p>
      <w:r>
        <w:t>(1) 화재 등의 재해로 인한 피해를 받을 우려가 없는 장소로 설치한다.</w:t>
      </w:r>
    </w:p>
    <w:p>
      <w:r>
        <w:t>(2) 기온의 변동으로 포의 발생에 장애를 주지 아니하는 장소에 설치한다. 다만, 기온의 변동에 영향을 받지 아니하는 포 소화약제의 경우에는 그러하지 아니한다.</w:t>
      </w:r>
    </w:p>
    <w:p>
      <w:r>
        <w:t>(3) 포소화약제가 변질될 우려가 없고 점검에 편리한 장소에 설치한다.</w:t>
      </w:r>
    </w:p>
    <w:p>
      <w:r>
        <w:t>(4) 가압송수장치 또는 포소화약제 혼합장치의 기동에 의하여 압력이 가해지는 것 또는 상시 가압된 상태로 사용되는 것에 있어서는 압력계를 설치한다.</w:t>
      </w:r>
    </w:p>
    <w:p>
      <w:r>
        <w:t>(5) 포 소화약제 저장량의 확인이 쉽도록 액면계 또는 계량봉등을 설치한다.</w:t>
      </w:r>
    </w:p>
    <w:p>
      <w:r>
        <w:t>(6) 가압식이 아닌 저장탱크는 유리게이지를 설치하여 액량을 측정할 수 있는 구조로 한다.</w:t>
      </w:r>
    </w:p>
    <w:p>
      <w:pPr>
        <w:pStyle w:val="Heading2"/>
      </w:pPr>
      <w:r>
        <w:t>3.4 포 소화약제 혼합장치</w:t>
      </w:r>
    </w:p>
    <w:p>
      <w:r>
        <w:t>포 소화약제의 혼합장치는 포소화약제의 사용농도에 적합한 수용액으로 혼합 할 수 있도록 다음 항목에 적합하도록 설치한다.</w:t>
      </w:r>
    </w:p>
    <w:p>
      <w:r>
        <w:t>(1) 펌프 푸로포셔너방식(펌프혼합방식)
 펌프의 토출관과 흡입관 사이의 배관 도중에 설치한 흡입기에 펌프에서 토출된 물의 일부를 보내고, 농도 조정밸브에서 조정된 포소화약제의 필요량을 포소화약제 탱크에서 펌프 흡입 측으로 보내어 이를 혼합하는 방식</w:t>
      </w:r>
    </w:p>
    <w:p>
      <w:r>
        <w:t>(2) 프레져 푸로포셔너방식(압력혼합방식)
 펌프와 발포기의 중간에 설치된 벤추리관의 벤추리작용과 펌프 가압수의 포 소화약제 저장탱크에 대한 압력에 의하여 포 소화약제를 흡입⋅혼합하는 방식</w:t>
      </w:r>
    </w:p>
    <w:p>
      <w:r>
        <w:t>(3) 라인 푸로포셔너방식(관로혼합방식)
 펌프와 발포기의 중간에 설치된 벤추리관의 벤추리작용에 의하여 포 소화약제를 흡입⋅혼합하는 방식</w:t>
      </w:r>
    </w:p>
    <w:p>
      <w:r>
        <w:t>(4) 프레져사이드 푸로포셔너방식(차압혼합방식)
 펌프의 토출관에 압입기를 설치하여 포 소화약제 압입용 펌프로 포 소화약제를 압입시켜 혼합하는 방식</w:t>
      </w:r>
    </w:p>
    <w:p>
      <w:r>
        <w:t>(5) 압축공기포 믹싱챔버방식
 포 수용액에 가압원으로 압축된 공기 또는 질소를 일정비율로 혼합하는 방식</w:t>
      </w:r>
    </w:p>
    <w:p>
      <w:pPr>
        <w:pStyle w:val="Heading2"/>
      </w:pPr>
      <w:r>
        <w:t>3.5 포 소화설비 기동장치</w:t>
      </w:r>
    </w:p>
    <w:p>
      <w:r>
        <w:t>(1) 포 소화설비의 수동식 기동장치는 다음 항목에 적합하도록 설치한다.</w:t>
      </w:r>
    </w:p>
    <w:p>
      <w:pPr>
        <w:pStyle w:val="Heading3"/>
      </w:pPr>
      <w:r>
        <w:t>3.5 포 소화설비 기동장치</w:t>
      </w:r>
    </w:p>
    <w:p>
      <w:pPr>
        <w:pStyle w:val="Heading3"/>
      </w:pPr>
      <w:r>
        <w:t>3.5 포 소화설비 기동장치</w:t>
      </w:r>
    </w:p>
    <w:p>
      <w:pPr>
        <w:pStyle w:val="Heading3"/>
      </w:pPr>
      <w:r>
        <w:t>3.5 포 소화설비 기동장치</w:t>
      </w:r>
    </w:p>
    <w:p>
      <w:pPr>
        <w:pStyle w:val="Heading3"/>
      </w:pPr>
      <w:r>
        <w:t>3.5 포 소화설비 기동장치</w:t>
      </w:r>
    </w:p>
    <w:p>
      <w:pPr>
        <w:pStyle w:val="Heading3"/>
      </w:pPr>
      <w:r>
        <w:t>3.5 포 소화설비 기동장치</w:t>
      </w:r>
    </w:p>
    <w:p>
      <w:pPr>
        <w:pStyle w:val="Heading3"/>
      </w:pPr>
      <w:r>
        <w:t>3.5 포 소화설비 기동장치</w:t>
      </w:r>
    </w:p>
    <w:p>
      <w:r>
        <w:t>(2) 포 소화설비의 자동식 기동장치는 자동화재 탐지설비의 감지의 작동 또는 폐쇄형 스프링클러헤드의 개방과 연동하여 가압송수장치, 일제개방밸브 및 포 소화약제 혼합장치를 기동시킬 수 있도록 다음의 기준에 의하여 설치한다.</w:t>
      </w:r>
    </w:p>
    <w:p>
      <w:pPr>
        <w:pStyle w:val="Heading3"/>
      </w:pPr>
      <w:r>
        <w:t>3.5 포 소화설비 기동장치</w:t>
      </w:r>
    </w:p>
    <w:p>
      <w:r>
        <w:t>가. 표시온도가 79 ℃ 미만인 것을 사용하고, 1개의 스프링클러헤드의 경계면적은 20㎡ 이하로 한다.</w:t>
      </w:r>
    </w:p>
    <w:p>
      <w:r>
        <w:t>나. 부착면의 높이는 바닥으로부터 5m 이하로 하고, 화재를 유효하게 감지할 수 있도록 한다.</w:t>
      </w:r>
    </w:p>
    <w:p>
      <w:r>
        <w:t>다. 하나의 감지장치의 경계구역은 하나의 층이 되도록 한다.</w:t>
      </w:r>
    </w:p>
    <w:p>
      <w:pPr>
        <w:pStyle w:val="Heading3"/>
      </w:pPr>
      <w:r>
        <w:t>3.5 포 소화설비 기동장치</w:t>
      </w:r>
    </w:p>
    <w:p>
      <w:r>
        <w:t>가. 감지기는 자동화재 탐지설비의 감지기에 관한 화재안전기준에 준하여 설치한다.</w:t>
      </w:r>
    </w:p>
    <w:p>
      <w:r>
        <w:t>나. 화재표시 및 경보장치는 자동화재 탐지설비의 발신기에 관한 화재안전기준에 준하여 설치한다.</w:t>
      </w:r>
    </w:p>
    <w:p>
      <w:r>
        <w:t>(3) 포 소화설비의 기동장치에 설치하는 자동경보장치는 다음 각 호의 기준에 의하여 설치한다. 다만, 자동화재 탐지설비에 의하여 경보를 발할 수 있는 경우에는 음향경보장치를 설치하지 아니할 수 있다.</w:t>
      </w:r>
    </w:p>
    <w:p>
      <w:pPr>
        <w:pStyle w:val="Heading3"/>
      </w:pPr>
      <w:r>
        <w:t>3.5 포 소화설비 기동장치</w:t>
      </w:r>
    </w:p>
    <w:p>
      <w:pPr>
        <w:pStyle w:val="Heading3"/>
      </w:pPr>
      <w:r>
        <w:t>3.5 포 소화설비 기동장치</w:t>
      </w:r>
    </w:p>
    <w:p>
      <w:pPr>
        <w:pStyle w:val="Heading3"/>
      </w:pPr>
      <w:r>
        <w:t>3.5 포 소화설비 기동장치</w:t>
      </w:r>
    </w:p>
    <w:p>
      <w:pPr>
        <w:pStyle w:val="Heading2"/>
      </w:pPr>
      <w:r>
        <w:t>3.6 포 소화설비의 개방밸브</w:t>
      </w:r>
    </w:p>
    <w:p>
      <w:r>
        <w:t>(1) 자동 개방밸브는 화재감지장치의 작동에 따라 자동으로 개방 되는 것으로한다.</w:t>
      </w:r>
    </w:p>
    <w:p>
      <w:r>
        <w:t>(2) 수동식 개방밸브는 화재 시 쉽게 접근할 수 있는 곳에 설치한다.</w:t>
      </w:r>
    </w:p>
    <w:p>
      <w:pPr>
        <w:pStyle w:val="Heading2"/>
      </w:pPr>
      <w:r>
        <w:t>3.7 시험 및 검사</w:t>
      </w:r>
    </w:p>
    <w:p>
      <w:r>
        <w:t>KCS 31 80 05(3.6.1) 에 따른다.</w:t>
      </w:r>
    </w:p>
    <w:sectPr>
      <w:footerReference w:type="default" r:id="rId3"/>
    </w:sectPr>
  </w:body>
</w:document>
</file>

<file path=word/footer1.xml><?xml version="1.0" encoding="utf-8"?>
<w:ftr xmlns:w="http://schemas.openxmlformats.org/wordprocessingml/2006/main">
  <w:p>
    <w:pPr>
      <w:jc w:val="center"/>
    </w:pPr>
    <w:r>
      <w:rPr>
        <w:sz w:val="16"/>
      </w:rPr>
      <w:t>출처: 국토교통부 고시 「건설기준 코드」 KCS 31 80 30 : 2026 · 비교담 자료마당(bigyodam.com)에서 내려받음</w:t>
    </w:r>
  </w:p>
</w:ftr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>
  <w:style w:styleId="Heading1" w:type="paragraph">
    <w:name w:val="heading 1"/>
    <w:pPr>
      <w:outlineLvl w:val="0"/>
    </w:pPr>
    <w:rPr>
      <w:b/>
      <w:sz w:val="32"/>
    </w:rPr>
  </w:style>
  <w:style w:styleId="Heading2" w:type="paragraph">
    <w:name w:val="heading 2"/>
    <w:pPr>
      <w:outlineLvl w:val="1"/>
    </w:pPr>
    <w:rPr>
      <w:b/>
      <w:sz w:val="28"/>
    </w:rPr>
  </w:style>
  <w:style w:styleId="Heading3" w:type="paragraph">
    <w:name w:val="heading 3"/>
    <w:pPr>
      <w:outlineLvl w:val="2"/>
    </w:pPr>
    <w:rPr>
      <w:b/>
      <w:sz w:val="24"/>
    </w:rPr>
  </w:style>
</w:style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footer1.xml" Type="http://schemas.openxmlformats.org/officeDocument/2006/relationships/footer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2026-09-14T08:49:24Z</dcterms:created>
  <dc:creator>Apache POI</dc:creator>
</cp:coreProperties>
</file>