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60  할로겐화합물 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할로겐화합물 소화설비공사에 적용한다.</w:t>
      </w:r>
    </w:p>
    <w:p>
      <w:pPr>
        <w:pStyle w:val="Heading2"/>
      </w:pPr>
      <w:r>
        <w:t>1.2 참고기준</w:t>
      </w:r>
    </w:p>
    <w:p>
      <w:r>
        <w:t>KCS 31 80 05(1.2) 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기기 및 재료</w:t>
      </w:r>
    </w:p>
    <w:p>
      <w:pPr>
        <w:pStyle w:val="Heading2"/>
      </w:pPr>
      <w:r>
        <w:t>2.1 약제 저장용기</w:t>
      </w:r>
    </w:p>
    <w:p>
      <w:r>
        <w:t>(1) KCS 31 80 55(2.1)에 따르고, 다음 항목을 추가한다.</w:t>
      </w:r>
    </w:p>
    <w:p>
      <w:r>
        <w:t>(2) 하나의 방호구역을 담당하는 저장용기의 소화약제의 체적 합계보다 소화약제의 방출 시 방출경로가 되는 배관(집합관을 포함)의 내용적이 1.5배 이상일 경우에는 당해 방호구역에 대한 설비는 별도 독립방식으로 한다.</w:t>
      </w:r>
    </w:p>
    <w:p>
      <w:pPr>
        <w:pStyle w:val="Heading2"/>
      </w:pPr>
      <w:r>
        <w:t>2.2 용기밸브</w:t>
      </w:r>
    </w:p>
    <w:p>
      <w:r>
        <w:t>KCS 31 80 55(2.2) 에 따른다.</w:t>
      </w:r>
    </w:p>
    <w:p>
      <w:pPr>
        <w:pStyle w:val="Heading2"/>
      </w:pPr>
      <w:r>
        <w:t>2.3 동작밸브(니들밸브)</w:t>
      </w:r>
    </w:p>
    <w:p>
      <w:r>
        <w:t>KCS 31 80 55(2.3) 에 따른다.</w:t>
      </w:r>
    </w:p>
    <w:p>
      <w:pPr>
        <w:pStyle w:val="Heading2"/>
      </w:pPr>
      <w:r>
        <w:t>2.4 분사헤드</w:t>
      </w:r>
    </w:p>
    <w:p>
      <w:r>
        <w:t>가스량, 방출압 및 설치장소에 알맞은 모양과 기능을 갖춘 것으로서 오리피스를 통하여 할로겐화합물을 균등히 방사하는 구조로 한다.</w:t>
      </w:r>
    </w:p>
    <w:p>
      <w:pPr>
        <w:pStyle w:val="Heading2"/>
      </w:pPr>
      <w:r>
        <w:t>2.5 기동용 가스용기</w:t>
      </w:r>
    </w:p>
    <w:p>
      <w:r>
        <w:t>KCS 31 80 55(2.5)에 따른다.</w:t>
      </w:r>
    </w:p>
    <w:p>
      <w:pPr>
        <w:pStyle w:val="Heading2"/>
      </w:pPr>
      <w:r>
        <w:t>2.6 선택밸브</w:t>
      </w:r>
    </w:p>
    <w:p>
      <w:r>
        <w:t>KCS 31 80 55(2.6)에 따른다.</w:t>
      </w:r>
    </w:p>
    <w:p>
      <w:pPr>
        <w:pStyle w:val="Heading2"/>
      </w:pPr>
      <w:r>
        <w:t>2.7 제어반</w:t>
      </w:r>
    </w:p>
    <w:p>
      <w:r>
        <w:t>KCS 31 80 55(2.7)에 따른다.</w:t>
      </w:r>
    </w:p>
    <w:p>
      <w:pPr>
        <w:pStyle w:val="Heading2"/>
      </w:pPr>
      <w:r>
        <w:t>2.8 배관재료</w:t>
      </w:r>
    </w:p>
    <w:p>
      <w:pPr>
        <w:pStyle w:val="Heading3"/>
      </w:pPr>
      <w:r>
        <w:t>2.8.1 강관을 사용하는 경우</w:t>
      </w:r>
    </w:p>
    <w:p>
      <w:r>
        <w:t>KS D 3562 중 스케줄 40 이상의 것 또는 이와 동등 이상의 강도를 가진 것으로서 아연도금 등에 따라 방식처리된 것을 사용한다.</w:t>
      </w:r>
    </w:p>
    <w:p>
      <w:pPr>
        <w:pStyle w:val="Heading3"/>
      </w:pPr>
      <w:r>
        <w:t>2.8.2 동관을 사용하는 경우</w:t>
      </w:r>
    </w:p>
    <w:p>
      <w:r>
        <w:t>KCS 31 80 55(2.8.2)에 따른다.</w:t>
      </w:r>
    </w:p>
    <w:p>
      <w:pPr>
        <w:pStyle w:val="Heading3"/>
      </w:pPr>
      <w:r>
        <w:t>2.8.3 배관부속 및 밸브류</w:t>
      </w:r>
    </w:p>
    <w:p>
      <w:r>
        <w:t>강관 또는 동관과 동등 이상의 강도 및 내식성이 있는 것으로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저장용기</w:t>
      </w:r>
    </w:p>
    <w:p>
      <w:r>
        <w:t>KCS 31 80 55(3.1)에 따른다.</w:t>
      </w:r>
    </w:p>
    <w:p>
      <w:pPr>
        <w:pStyle w:val="Heading2"/>
      </w:pPr>
      <w:r>
        <w:t>3.2 기동장치</w:t>
      </w:r>
    </w:p>
    <w:p>
      <w:pPr>
        <w:pStyle w:val="Heading3"/>
      </w:pPr>
      <w:r>
        <w:t>3.2.1 수동식 기동장치</w:t>
      </w:r>
    </w:p>
    <w:p>
      <w:r>
        <w:t>KCS 31 80 55(3.2.1)에 따른다.</w:t>
      </w:r>
    </w:p>
    <w:p>
      <w:pPr>
        <w:pStyle w:val="Heading3"/>
      </w:pPr>
      <w:r>
        <w:t>3.2.2 자동식 기동장치</w:t>
      </w:r>
    </w:p>
    <w:p>
      <w:r>
        <w:t>KCS 31 80 55(3.2.2)에 따른다.</w:t>
      </w:r>
    </w:p>
    <w:p>
      <w:pPr>
        <w:pStyle w:val="Heading3"/>
      </w:pPr>
      <w:r>
        <w:t>3.2.3 표시등</w:t>
      </w:r>
    </w:p>
    <w:p>
      <w:r>
        <w:t>할로겐화합물 소화설비가 설치된 구역의 출입구에는 소화약제의 방출 여부를 나타내는 표시등을 설치한다.</w:t>
      </w:r>
    </w:p>
    <w:p>
      <w:pPr>
        <w:pStyle w:val="Heading2"/>
      </w:pPr>
      <w:r>
        <w:t>3.3 배관</w:t>
      </w:r>
    </w:p>
    <w:p>
      <w:r>
        <w:t>배관의 구경은 기준저장량의 소화약제가 10초 이내에 방사될 수 있도록 한다.</w:t>
      </w:r>
    </w:p>
    <w:p>
      <w:pPr>
        <w:pStyle w:val="Heading2"/>
      </w:pPr>
      <w:r>
        <w:t>3.4 선택밸브</w:t>
      </w:r>
    </w:p>
    <w:p>
      <w:r>
        <w:t>KCS 31 80 55(3.4)에 따른다.</w:t>
      </w:r>
    </w:p>
    <w:p>
      <w:pPr>
        <w:pStyle w:val="Heading2"/>
      </w:pPr>
      <w:r>
        <w:t>3.5 분사헤드</w:t>
      </w:r>
    </w:p>
    <w:p>
      <w:r>
        <w:t>KCS 31 80 55(3.5)에 따른다.</w:t>
      </w:r>
    </w:p>
    <w:p>
      <w:pPr>
        <w:pStyle w:val="Heading2"/>
      </w:pPr>
      <w:r>
        <w:t>3.6 시험 및 검사</w:t>
      </w:r>
    </w:p>
    <w:p>
      <w:r>
        <w:t>(1) 기압(기밀) 시험
 KCS 31 80 05(3.6.2(2)②)에 따른다.</w:t>
      </w:r>
    </w:p>
    <w:p>
      <w:r>
        <w:t>(2) 기동장치 시험
 KCS 31 80 05(3.6.2(2)③)에 따른다.</w:t>
      </w:r>
    </w:p>
    <w:p>
      <w:r>
        <w:t>(3) 방출시험
 KCS 31 80 05(3.6.2(2)④)에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60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2026-09-14T08:49:29Z</dcterms:created>
  <dc:creator>Apache POI</dc:creator>
</cp:coreProperties>
</file>